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5345" w14:textId="77777777" w:rsidR="00940282" w:rsidRPr="001322FF" w:rsidRDefault="00940282" w:rsidP="00940282">
      <w:pPr>
        <w:spacing w:line="360" w:lineRule="auto"/>
        <w:rPr>
          <w:b/>
          <w:bCs/>
          <w:iCs/>
          <w:sz w:val="16"/>
          <w:szCs w:val="16"/>
        </w:rPr>
      </w:pPr>
      <w:r w:rsidRPr="001322FF">
        <w:rPr>
          <w:b/>
          <w:bCs/>
          <w:iCs/>
          <w:sz w:val="16"/>
          <w:szCs w:val="16"/>
        </w:rPr>
        <w:t xml:space="preserve">Document Name: Succession Planning </w:t>
      </w:r>
      <w:r w:rsidRPr="001322FF">
        <w:rPr>
          <w:b/>
          <w:bCs/>
          <w:iCs/>
          <w:sz w:val="16"/>
          <w:szCs w:val="16"/>
        </w:rPr>
        <w:tab/>
      </w:r>
      <w:r w:rsidRPr="001322FF">
        <w:rPr>
          <w:b/>
          <w:bCs/>
          <w:iCs/>
          <w:sz w:val="16"/>
          <w:szCs w:val="16"/>
        </w:rPr>
        <w:tab/>
      </w:r>
    </w:p>
    <w:p w14:paraId="65C35F8C"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133563C4"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02410AE2"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144B27D1" w14:textId="77777777" w:rsidR="00940282" w:rsidRPr="003A2FF9" w:rsidRDefault="00940282" w:rsidP="003A2FF9">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2433ABF" w14:textId="77777777" w:rsidR="00940282" w:rsidRPr="001322FF" w:rsidRDefault="00940282" w:rsidP="005A1A08">
      <w:pPr>
        <w:pStyle w:val="Heading3"/>
        <w:jc w:val="center"/>
      </w:pPr>
      <w:bookmarkStart w:id="0" w:name="_Toc84513359"/>
      <w:r w:rsidRPr="003A2FF9">
        <w:t>Succession Planning</w:t>
      </w:r>
      <w:bookmarkEnd w:id="0"/>
      <w:r w:rsidRPr="001322FF">
        <w:t xml:space="preserve"> </w:t>
      </w:r>
      <w:r w:rsidRPr="001322FF">
        <w:br/>
      </w:r>
    </w:p>
    <w:p w14:paraId="08317640" w14:textId="77777777" w:rsidR="00940282" w:rsidRPr="001322FF" w:rsidRDefault="00940282" w:rsidP="00450F60">
      <w:pPr>
        <w:pStyle w:val="ListParagraph"/>
        <w:numPr>
          <w:ilvl w:val="0"/>
          <w:numId w:val="17"/>
        </w:numPr>
        <w:tabs>
          <w:tab w:val="left" w:pos="6080"/>
        </w:tabs>
        <w:spacing w:after="0" w:line="360" w:lineRule="auto"/>
        <w:rPr>
          <w:b/>
        </w:rPr>
      </w:pPr>
      <w:r w:rsidRPr="001322FF">
        <w:rPr>
          <w:b/>
        </w:rPr>
        <w:t>Introduction and scope</w:t>
      </w:r>
    </w:p>
    <w:p w14:paraId="6C9225F3" w14:textId="77777777" w:rsidR="00940282" w:rsidRPr="001322FF" w:rsidRDefault="00940282" w:rsidP="00940282">
      <w:pPr>
        <w:tabs>
          <w:tab w:val="num" w:pos="1080"/>
        </w:tabs>
        <w:spacing w:line="360" w:lineRule="auto"/>
        <w:rPr>
          <w:color w:val="000000" w:themeColor="text1"/>
        </w:rPr>
      </w:pPr>
      <w:r w:rsidRPr="001322FF">
        <w:rPr>
          <w:color w:val="FF0000"/>
        </w:rPr>
        <w:t xml:space="preserve">[insert name Local Optical Committee ‘the LOC’] </w:t>
      </w:r>
      <w:r w:rsidRPr="001322FF">
        <w:rPr>
          <w:color w:val="000000" w:themeColor="text1"/>
        </w:rPr>
        <w:t xml:space="preserve">aims to provide excellent support to our local contractors and performers, now and for years to come. Our five-point succession planning </w:t>
      </w:r>
      <w:proofErr w:type="spellStart"/>
      <w:r w:rsidRPr="001322FF">
        <w:rPr>
          <w:color w:val="000000" w:themeColor="text1"/>
        </w:rPr>
        <w:t>programme</w:t>
      </w:r>
      <w:proofErr w:type="spellEnd"/>
      <w:r w:rsidRPr="001322FF">
        <w:rPr>
          <w:color w:val="000000" w:themeColor="text1"/>
        </w:rPr>
        <w:t xml:space="preserve"> is central to this. </w:t>
      </w:r>
    </w:p>
    <w:p w14:paraId="3DC6DE07" w14:textId="3D160323" w:rsidR="00940282" w:rsidRPr="001322FF" w:rsidRDefault="00940282" w:rsidP="00940282">
      <w:pPr>
        <w:tabs>
          <w:tab w:val="num" w:pos="1080"/>
        </w:tabs>
        <w:spacing w:line="360" w:lineRule="auto"/>
        <w:rPr>
          <w:color w:val="000000" w:themeColor="text1"/>
        </w:rPr>
      </w:pPr>
      <w:r w:rsidRPr="001322FF">
        <w:rPr>
          <w:color w:val="000000" w:themeColor="text1"/>
        </w:rPr>
        <w:t>We enable a blend of experience and new ideas. We actively encourage an environment of learning and continuous development so that officers and members are on top of the latest developments and trends. And we ensure that the LOC serves our whole local optical committee and not just a portion of it.</w:t>
      </w:r>
    </w:p>
    <w:p w14:paraId="11408B09" w14:textId="77777777" w:rsidR="00940282" w:rsidRPr="001322FF" w:rsidRDefault="00940282" w:rsidP="00940282">
      <w:pPr>
        <w:tabs>
          <w:tab w:val="num" w:pos="1080"/>
        </w:tabs>
        <w:spacing w:line="360" w:lineRule="auto"/>
        <w:rPr>
          <w:color w:val="000000" w:themeColor="text1"/>
        </w:rPr>
      </w:pPr>
      <w:r w:rsidRPr="001322FF">
        <w:rPr>
          <w:color w:val="000000" w:themeColor="text1"/>
        </w:rPr>
        <w:t>Through the implementation of this plan, we are confident that our committee is well positioned well into the future.</w:t>
      </w:r>
    </w:p>
    <w:p w14:paraId="74229F99" w14:textId="77777777" w:rsidR="00940282" w:rsidRPr="001322FF" w:rsidRDefault="00940282" w:rsidP="00450F60">
      <w:pPr>
        <w:pStyle w:val="ListParagraph"/>
        <w:numPr>
          <w:ilvl w:val="0"/>
          <w:numId w:val="17"/>
        </w:numPr>
        <w:tabs>
          <w:tab w:val="num" w:pos="1080"/>
        </w:tabs>
        <w:spacing w:line="360" w:lineRule="auto"/>
        <w:rPr>
          <w:b/>
          <w:color w:val="000000"/>
        </w:rPr>
      </w:pPr>
      <w:r w:rsidRPr="001322FF">
        <w:rPr>
          <w:b/>
          <w:color w:val="000000"/>
        </w:rPr>
        <w:t>Responsibility</w:t>
      </w:r>
    </w:p>
    <w:p w14:paraId="6F51ADC9" w14:textId="77777777" w:rsidR="00940282" w:rsidRPr="001322FF" w:rsidRDefault="00940282" w:rsidP="00940282">
      <w:pPr>
        <w:spacing w:line="360" w:lineRule="auto"/>
        <w:rPr>
          <w:color w:val="000000" w:themeColor="text1"/>
        </w:rPr>
      </w:pPr>
      <w:r w:rsidRPr="001322FF">
        <w:rPr>
          <w:color w:val="000000" w:themeColor="text1"/>
        </w:rPr>
        <w:t>Responsibility for enacting this plan lies with the LOC officers with support from LOC members. However, the whole local sector has an interest in the viability of the LOC into the future and so the LOC draws upon as wide a support base as possible.</w:t>
      </w:r>
    </w:p>
    <w:p w14:paraId="2B84E5F1" w14:textId="77777777" w:rsidR="00940282" w:rsidRPr="001322FF" w:rsidRDefault="00940282" w:rsidP="00450F60">
      <w:pPr>
        <w:pStyle w:val="ListParagraph"/>
        <w:numPr>
          <w:ilvl w:val="0"/>
          <w:numId w:val="17"/>
        </w:numPr>
        <w:tabs>
          <w:tab w:val="num" w:pos="1080"/>
        </w:tabs>
        <w:spacing w:line="360" w:lineRule="auto"/>
        <w:rPr>
          <w:b/>
          <w:bCs/>
          <w:color w:val="000000" w:themeColor="text1"/>
        </w:rPr>
      </w:pPr>
      <w:r w:rsidRPr="001322FF">
        <w:rPr>
          <w:b/>
          <w:bCs/>
          <w:color w:val="000000" w:themeColor="text1"/>
        </w:rPr>
        <w:t>Succession Planning model</w:t>
      </w:r>
    </w:p>
    <w:p w14:paraId="24761403" w14:textId="77777777" w:rsidR="00940282" w:rsidRPr="001322FF" w:rsidRDefault="00940282" w:rsidP="00940282">
      <w:pPr>
        <w:tabs>
          <w:tab w:val="num" w:pos="1080"/>
        </w:tabs>
        <w:spacing w:line="360" w:lineRule="auto"/>
        <w:rPr>
          <w:color w:val="000000" w:themeColor="text1"/>
        </w:rPr>
      </w:pPr>
      <w:r w:rsidRPr="001322FF">
        <w:rPr>
          <w:color w:val="000000" w:themeColor="text1"/>
        </w:rPr>
        <w:t>The LOC implements the following succession planning model:</w:t>
      </w:r>
    </w:p>
    <w:p w14:paraId="60EA792D" w14:textId="77777777" w:rsidR="00940282" w:rsidRPr="001322FF" w:rsidRDefault="00940282" w:rsidP="00940282">
      <w:pPr>
        <w:tabs>
          <w:tab w:val="num" w:pos="1080"/>
        </w:tabs>
        <w:spacing w:line="360" w:lineRule="auto"/>
        <w:rPr>
          <w:color w:val="000000" w:themeColor="text1"/>
        </w:rPr>
      </w:pPr>
      <w:r w:rsidRPr="001322FF">
        <w:rPr>
          <w:noProof/>
          <w:color w:val="000000" w:themeColor="text1"/>
        </w:rPr>
        <w:lastRenderedPageBreak/>
        <w:drawing>
          <wp:inline distT="0" distB="0" distL="0" distR="0" wp14:anchorId="75023128" wp14:editId="7024C344">
            <wp:extent cx="5048250" cy="26765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1322FF">
        <w:rPr>
          <w:color w:val="000000" w:themeColor="text1"/>
        </w:rPr>
        <w:br/>
      </w:r>
    </w:p>
    <w:p w14:paraId="1E379522" w14:textId="77777777" w:rsidR="00940282" w:rsidRPr="001322FF" w:rsidRDefault="00940282" w:rsidP="00450F60">
      <w:pPr>
        <w:pStyle w:val="ListParagraph"/>
        <w:numPr>
          <w:ilvl w:val="0"/>
          <w:numId w:val="16"/>
        </w:numPr>
        <w:spacing w:line="360" w:lineRule="auto"/>
        <w:rPr>
          <w:color w:val="000000" w:themeColor="text1"/>
        </w:rPr>
      </w:pPr>
      <w:r w:rsidRPr="001322FF">
        <w:rPr>
          <w:b/>
          <w:bCs/>
          <w:color w:val="000000" w:themeColor="text1"/>
        </w:rPr>
        <w:t>Role fulfilment</w:t>
      </w:r>
    </w:p>
    <w:p w14:paraId="5560EE66"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It is essential that the LOC both retains existing expertise and positions itself to develop new expertise. </w:t>
      </w:r>
      <w:proofErr w:type="gramStart"/>
      <w:r w:rsidRPr="001322FF">
        <w:rPr>
          <w:color w:val="000000" w:themeColor="text1"/>
        </w:rPr>
        <w:t>In order to</w:t>
      </w:r>
      <w:proofErr w:type="gramEnd"/>
      <w:r w:rsidRPr="001322FF">
        <w:rPr>
          <w:color w:val="000000" w:themeColor="text1"/>
        </w:rPr>
        <w:t xml:space="preserve"> achieve this, we implement the staggered election system in our LOC Model constitution. In this system:</w:t>
      </w:r>
    </w:p>
    <w:p w14:paraId="02A6AFFA" w14:textId="77777777" w:rsidR="00940282" w:rsidRPr="001322FF" w:rsidRDefault="00940282" w:rsidP="00450F60">
      <w:pPr>
        <w:pStyle w:val="ListParagraph"/>
        <w:numPr>
          <w:ilvl w:val="1"/>
          <w:numId w:val="16"/>
        </w:numPr>
        <w:spacing w:line="360" w:lineRule="auto"/>
        <w:rPr>
          <w:color w:val="000000" w:themeColor="text1"/>
        </w:rPr>
      </w:pPr>
      <w:r w:rsidRPr="001322FF">
        <w:rPr>
          <w:color w:val="000000" w:themeColor="text1"/>
        </w:rPr>
        <w:t>All membership terms are three years, with commencement dates being AGM dates</w:t>
      </w:r>
    </w:p>
    <w:p w14:paraId="4FB9B308" w14:textId="77777777" w:rsidR="00940282" w:rsidRPr="001322FF" w:rsidRDefault="00940282" w:rsidP="00450F60">
      <w:pPr>
        <w:pStyle w:val="ListParagraph"/>
        <w:numPr>
          <w:ilvl w:val="1"/>
          <w:numId w:val="16"/>
        </w:numPr>
        <w:spacing w:line="360" w:lineRule="auto"/>
        <w:rPr>
          <w:b/>
          <w:bCs/>
          <w:color w:val="000000" w:themeColor="text1"/>
        </w:rPr>
      </w:pPr>
      <w:r w:rsidRPr="001322FF">
        <w:rPr>
          <w:color w:val="000000" w:themeColor="text1"/>
        </w:rPr>
        <w:t xml:space="preserve">At each AGM, one-third only of current membership places become open with elections held where there are more candidates than available slots. Existing members are eligible to stand for </w:t>
      </w:r>
      <w:proofErr w:type="gramStart"/>
      <w:r w:rsidRPr="001322FF">
        <w:rPr>
          <w:color w:val="000000" w:themeColor="text1"/>
        </w:rPr>
        <w:t>re-election</w:t>
      </w:r>
      <w:proofErr w:type="gramEnd"/>
      <w:r w:rsidRPr="001322FF">
        <w:rPr>
          <w:color w:val="000000" w:themeColor="text1"/>
        </w:rPr>
        <w:t xml:space="preserve"> but they are not permitted to ‘rollover’ their existing membership without due process at the AGM.</w:t>
      </w:r>
      <w:r w:rsidRPr="001322FF">
        <w:rPr>
          <w:color w:val="000000" w:themeColor="text1"/>
        </w:rPr>
        <w:br/>
      </w:r>
    </w:p>
    <w:p w14:paraId="22161001" w14:textId="77777777" w:rsidR="00940282" w:rsidRPr="001322FF" w:rsidRDefault="00940282" w:rsidP="00450F60">
      <w:pPr>
        <w:pStyle w:val="ListParagraph"/>
        <w:numPr>
          <w:ilvl w:val="0"/>
          <w:numId w:val="16"/>
        </w:numPr>
        <w:tabs>
          <w:tab w:val="num" w:pos="1080"/>
        </w:tabs>
        <w:spacing w:line="360" w:lineRule="auto"/>
        <w:rPr>
          <w:b/>
          <w:bCs/>
          <w:color w:val="000000" w:themeColor="text1"/>
        </w:rPr>
      </w:pPr>
      <w:r w:rsidRPr="001322FF">
        <w:rPr>
          <w:b/>
          <w:bCs/>
          <w:color w:val="000000" w:themeColor="text1"/>
        </w:rPr>
        <w:t xml:space="preserve">Building role profiles </w:t>
      </w:r>
      <w:r w:rsidRPr="001322FF">
        <w:rPr>
          <w:b/>
          <w:bCs/>
          <w:color w:val="000000" w:themeColor="text1"/>
        </w:rPr>
        <w:br/>
      </w:r>
      <w:r w:rsidRPr="001322FF">
        <w:rPr>
          <w:color w:val="000000" w:themeColor="text1"/>
        </w:rPr>
        <w:t>Building role profiles acts as the bridge between role identification and required areas of improvement. Each LOC officer role has a role description which we share with the local sector to demonstrate the skills and experience that we think is necessary to achieve our long-term goals.</w:t>
      </w:r>
      <w:r w:rsidRPr="001322FF">
        <w:rPr>
          <w:b/>
          <w:bCs/>
          <w:color w:val="000000" w:themeColor="text1"/>
        </w:rPr>
        <w:br/>
      </w:r>
    </w:p>
    <w:p w14:paraId="4370B587" w14:textId="77777777" w:rsidR="00940282" w:rsidRPr="001322FF" w:rsidRDefault="00940282" w:rsidP="00450F60">
      <w:pPr>
        <w:pStyle w:val="ListParagraph"/>
        <w:numPr>
          <w:ilvl w:val="0"/>
          <w:numId w:val="16"/>
        </w:numPr>
        <w:tabs>
          <w:tab w:val="num" w:pos="1080"/>
        </w:tabs>
        <w:spacing w:line="360" w:lineRule="auto"/>
        <w:rPr>
          <w:b/>
          <w:bCs/>
          <w:color w:val="000000" w:themeColor="text1"/>
        </w:rPr>
      </w:pPr>
      <w:r w:rsidRPr="001322FF">
        <w:rPr>
          <w:b/>
          <w:bCs/>
          <w:color w:val="000000" w:themeColor="text1"/>
        </w:rPr>
        <w:t xml:space="preserve">Skills gap analysis </w:t>
      </w:r>
    </w:p>
    <w:p w14:paraId="55F0DA9A" w14:textId="77777777" w:rsidR="00940282" w:rsidRPr="001322FF" w:rsidRDefault="00940282" w:rsidP="00940282">
      <w:pPr>
        <w:pStyle w:val="ListParagraph"/>
        <w:spacing w:line="360" w:lineRule="auto"/>
        <w:rPr>
          <w:color w:val="000000" w:themeColor="text1"/>
        </w:rPr>
      </w:pPr>
      <w:r w:rsidRPr="001322FF">
        <w:rPr>
          <w:color w:val="000000" w:themeColor="text1"/>
        </w:rPr>
        <w:t>This shows the LOC where we are lacking in important areas and is the essential precursor to offering development opportunities.</w:t>
      </w:r>
    </w:p>
    <w:p w14:paraId="13FF28A1" w14:textId="77777777" w:rsidR="00940282" w:rsidRPr="001322FF" w:rsidRDefault="00940282" w:rsidP="00450F60">
      <w:pPr>
        <w:pStyle w:val="ListParagraph"/>
        <w:numPr>
          <w:ilvl w:val="0"/>
          <w:numId w:val="16"/>
        </w:numPr>
        <w:tabs>
          <w:tab w:val="num" w:pos="1080"/>
        </w:tabs>
        <w:spacing w:line="360" w:lineRule="auto"/>
        <w:rPr>
          <w:color w:val="000000" w:themeColor="text1"/>
        </w:rPr>
      </w:pPr>
      <w:r w:rsidRPr="001322FF">
        <w:rPr>
          <w:b/>
          <w:bCs/>
          <w:color w:val="000000" w:themeColor="text1"/>
        </w:rPr>
        <w:t>Development opportunities</w:t>
      </w:r>
    </w:p>
    <w:p w14:paraId="3EC6646E"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For any organisation, training and development of new members is a key part of succession planning and LOCs are no different in this respect.  </w:t>
      </w:r>
    </w:p>
    <w:p w14:paraId="5C07B5C9" w14:textId="77777777" w:rsidR="00940282" w:rsidRPr="001322FF" w:rsidRDefault="00940282" w:rsidP="00940282">
      <w:pPr>
        <w:spacing w:line="360" w:lineRule="auto"/>
        <w:ind w:left="720"/>
        <w:rPr>
          <w:color w:val="000000" w:themeColor="text1"/>
        </w:rPr>
      </w:pPr>
      <w:r w:rsidRPr="001322FF">
        <w:rPr>
          <w:color w:val="000000" w:themeColor="text1"/>
        </w:rPr>
        <w:lastRenderedPageBreak/>
        <w:t xml:space="preserve">The LOC makes full use LOCSU’s training </w:t>
      </w:r>
      <w:proofErr w:type="spellStart"/>
      <w:r w:rsidRPr="001322FF">
        <w:rPr>
          <w:color w:val="000000" w:themeColor="text1"/>
        </w:rPr>
        <w:t>programmes</w:t>
      </w:r>
      <w:proofErr w:type="spellEnd"/>
      <w:r w:rsidRPr="001322FF">
        <w:rPr>
          <w:color w:val="000000" w:themeColor="text1"/>
        </w:rPr>
        <w:t xml:space="preserve"> to offer as wide a suite of learning as possible to develop leaders for the future. These courses, available to LOCs only are:</w:t>
      </w:r>
    </w:p>
    <w:p w14:paraId="2ED5DA74"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 xml:space="preserve">Facilitated Online Induction </w:t>
      </w:r>
      <w:proofErr w:type="spellStart"/>
      <w:r w:rsidRPr="001322FF">
        <w:rPr>
          <w:color w:val="000000" w:themeColor="text1"/>
        </w:rPr>
        <w:t>Programme</w:t>
      </w:r>
      <w:proofErr w:type="spellEnd"/>
    </w:p>
    <w:p w14:paraId="5D2A6656"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Treasurer Online training</w:t>
      </w:r>
    </w:p>
    <w:p w14:paraId="3EA4D50C"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How to Attract New Members to the LOC</w:t>
      </w:r>
    </w:p>
    <w:p w14:paraId="548E0519"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Coaching and Mentoring</w:t>
      </w:r>
    </w:p>
    <w:p w14:paraId="676684D1"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 xml:space="preserve">Leadership Skills </w:t>
      </w:r>
      <w:proofErr w:type="spellStart"/>
      <w:r w:rsidRPr="001322FF">
        <w:rPr>
          <w:color w:val="000000" w:themeColor="text1"/>
        </w:rPr>
        <w:t>Programme</w:t>
      </w:r>
      <w:proofErr w:type="spellEnd"/>
      <w:r w:rsidRPr="001322FF">
        <w:rPr>
          <w:color w:val="000000" w:themeColor="text1"/>
        </w:rPr>
        <w:t>.</w:t>
      </w:r>
    </w:p>
    <w:p w14:paraId="630245FA" w14:textId="77777777" w:rsidR="00940282" w:rsidRPr="001322FF" w:rsidRDefault="00940282" w:rsidP="00940282">
      <w:pPr>
        <w:spacing w:line="360" w:lineRule="auto"/>
        <w:ind w:left="720"/>
        <w:rPr>
          <w:color w:val="000000" w:themeColor="text1"/>
        </w:rPr>
      </w:pPr>
      <w:r w:rsidRPr="001322FF">
        <w:rPr>
          <w:color w:val="000000" w:themeColor="text1"/>
        </w:rPr>
        <w:t xml:space="preserve">In addition, the LOC encourages local contractors and performers to </w:t>
      </w:r>
      <w:proofErr w:type="spellStart"/>
      <w:r w:rsidRPr="001322FF">
        <w:rPr>
          <w:color w:val="000000" w:themeColor="text1"/>
        </w:rPr>
        <w:t>utilise</w:t>
      </w:r>
      <w:proofErr w:type="spellEnd"/>
      <w:r w:rsidRPr="001322FF">
        <w:rPr>
          <w:color w:val="000000" w:themeColor="text1"/>
        </w:rPr>
        <w:t xml:space="preserve"> the training courses for extended primary care services delivered by the Wales Optometry Postgraduate Education Centre (WOPEC), with access codes provided by LOCSU.</w:t>
      </w:r>
    </w:p>
    <w:p w14:paraId="694371EB" w14:textId="77777777" w:rsidR="00940282" w:rsidRPr="001322FF" w:rsidRDefault="00940282" w:rsidP="00450F60">
      <w:pPr>
        <w:pStyle w:val="ListParagraph"/>
        <w:numPr>
          <w:ilvl w:val="0"/>
          <w:numId w:val="16"/>
        </w:numPr>
        <w:tabs>
          <w:tab w:val="num" w:pos="1080"/>
        </w:tabs>
        <w:spacing w:line="360" w:lineRule="auto"/>
        <w:rPr>
          <w:color w:val="000000" w:themeColor="text1"/>
        </w:rPr>
      </w:pPr>
      <w:r w:rsidRPr="001322FF">
        <w:rPr>
          <w:b/>
          <w:bCs/>
          <w:color w:val="000000" w:themeColor="text1"/>
        </w:rPr>
        <w:t>Continuous quality improvement</w:t>
      </w:r>
      <w:r w:rsidRPr="001322FF">
        <w:rPr>
          <w:color w:val="000000" w:themeColor="text1"/>
        </w:rPr>
        <w:t xml:space="preserve"> </w:t>
      </w:r>
      <w:r w:rsidRPr="001322FF">
        <w:rPr>
          <w:color w:val="000000" w:themeColor="text1"/>
        </w:rPr>
        <w:br/>
        <w:t>The LOC is committed to continuously improving its support to the local sector. Skills required in the future may be different to those of today. By continually stress-testing our succession planning approach, adapting this policy and other resources as necessary, we ensure that the LOC is ‘futureproofed’ as best as possible.</w:t>
      </w:r>
      <w:r w:rsidRPr="001322FF">
        <w:rPr>
          <w:color w:val="000000" w:themeColor="text1"/>
        </w:rPr>
        <w:br/>
      </w:r>
    </w:p>
    <w:p w14:paraId="5B762600" w14:textId="77777777" w:rsidR="00940282" w:rsidRPr="001322FF" w:rsidRDefault="00940282" w:rsidP="00450F60">
      <w:pPr>
        <w:pStyle w:val="ListParagraph"/>
        <w:numPr>
          <w:ilvl w:val="0"/>
          <w:numId w:val="17"/>
        </w:numPr>
        <w:spacing w:line="360" w:lineRule="auto"/>
        <w:rPr>
          <w:b/>
          <w:bCs/>
          <w:color w:val="000000" w:themeColor="text1"/>
        </w:rPr>
      </w:pPr>
      <w:r w:rsidRPr="001322FF">
        <w:rPr>
          <w:b/>
          <w:bCs/>
          <w:color w:val="000000" w:themeColor="text1"/>
        </w:rPr>
        <w:t>Sector and wider engagement</w:t>
      </w:r>
    </w:p>
    <w:p w14:paraId="5E9CC1D6" w14:textId="77777777" w:rsidR="00940282" w:rsidRPr="001322FF" w:rsidRDefault="00940282" w:rsidP="00940282">
      <w:pPr>
        <w:spacing w:line="360" w:lineRule="auto"/>
        <w:rPr>
          <w:color w:val="000000" w:themeColor="text1"/>
        </w:rPr>
      </w:pPr>
      <w:r w:rsidRPr="001322FF">
        <w:rPr>
          <w:color w:val="000000" w:themeColor="text1"/>
        </w:rPr>
        <w:t xml:space="preserve">The LOC </w:t>
      </w:r>
      <w:proofErr w:type="spellStart"/>
      <w:r w:rsidRPr="001322FF">
        <w:rPr>
          <w:color w:val="000000" w:themeColor="text1"/>
        </w:rPr>
        <w:t>recognises</w:t>
      </w:r>
      <w:proofErr w:type="spellEnd"/>
      <w:r w:rsidRPr="001322FF">
        <w:rPr>
          <w:color w:val="000000" w:themeColor="text1"/>
        </w:rPr>
        <w:t xml:space="preserve"> that our members and local contractors and performers represent different optical disciplines and </w:t>
      </w:r>
      <w:proofErr w:type="spellStart"/>
      <w:r w:rsidRPr="001322FF">
        <w:rPr>
          <w:color w:val="000000" w:themeColor="text1"/>
        </w:rPr>
        <w:t>specialities</w:t>
      </w:r>
      <w:proofErr w:type="spellEnd"/>
      <w:r w:rsidRPr="001322FF">
        <w:rPr>
          <w:color w:val="000000" w:themeColor="text1"/>
        </w:rPr>
        <w:t xml:space="preserve">, and work for </w:t>
      </w:r>
      <w:proofErr w:type="spellStart"/>
      <w:r w:rsidRPr="001322FF">
        <w:rPr>
          <w:color w:val="000000" w:themeColor="text1"/>
        </w:rPr>
        <w:t>organisations</w:t>
      </w:r>
      <w:proofErr w:type="spellEnd"/>
      <w:r w:rsidRPr="001322FF">
        <w:rPr>
          <w:color w:val="000000" w:themeColor="text1"/>
        </w:rPr>
        <w:t xml:space="preserve"> of different sizes and structures. We welcome this diversity and believe that through it we can offer a more complete service. </w:t>
      </w:r>
    </w:p>
    <w:p w14:paraId="3EC527E7" w14:textId="77777777" w:rsidR="00940282" w:rsidRPr="001322FF" w:rsidRDefault="00940282" w:rsidP="00940282">
      <w:pPr>
        <w:spacing w:line="360" w:lineRule="auto"/>
        <w:rPr>
          <w:color w:val="000000" w:themeColor="text1"/>
        </w:rPr>
      </w:pPr>
      <w:r w:rsidRPr="001322FF">
        <w:rPr>
          <w:color w:val="000000" w:themeColor="text1"/>
        </w:rPr>
        <w:t xml:space="preserve">We ensure that we engage fully with both optometrists and dispensing opticians, independents and multiples, </w:t>
      </w:r>
      <w:proofErr w:type="gramStart"/>
      <w:r w:rsidRPr="001322FF">
        <w:rPr>
          <w:color w:val="000000" w:themeColor="text1"/>
        </w:rPr>
        <w:t>and also</w:t>
      </w:r>
      <w:proofErr w:type="gramEnd"/>
      <w:r w:rsidRPr="001322FF">
        <w:rPr>
          <w:color w:val="000000" w:themeColor="text1"/>
        </w:rPr>
        <w:t xml:space="preserve"> non-optical stakeholders. The LOC pledges to do everything we can to break down sector cliques and special interests. </w:t>
      </w:r>
    </w:p>
    <w:p w14:paraId="0539B050" w14:textId="77777777" w:rsidR="004A73D5" w:rsidRDefault="00940282" w:rsidP="004A73D5">
      <w:pPr>
        <w:spacing w:line="360" w:lineRule="auto"/>
        <w:rPr>
          <w:color w:val="000000" w:themeColor="text1"/>
        </w:rPr>
      </w:pPr>
      <w:r w:rsidRPr="001322FF">
        <w:rPr>
          <w:color w:val="000000" w:themeColor="text1"/>
        </w:rPr>
        <w:t xml:space="preserve">We also work with counterpart </w:t>
      </w:r>
      <w:proofErr w:type="spellStart"/>
      <w:r w:rsidRPr="001322FF">
        <w:rPr>
          <w:color w:val="000000" w:themeColor="text1"/>
        </w:rPr>
        <w:t>organisations</w:t>
      </w:r>
      <w:proofErr w:type="spellEnd"/>
      <w:r w:rsidRPr="001322FF">
        <w:rPr>
          <w:color w:val="000000" w:themeColor="text1"/>
        </w:rPr>
        <w:t xml:space="preserve"> across primary care, local commissioners and authorities, national optical bodies, the third sector and any other organisation we feel that we can learn from.</w:t>
      </w:r>
    </w:p>
    <w:sectPr w:rsidR="004A73D5"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12CF" w14:textId="77777777" w:rsidR="00A316B1" w:rsidRDefault="00A316B1" w:rsidP="00AA4A6A">
      <w:r>
        <w:separator/>
      </w:r>
    </w:p>
  </w:endnote>
  <w:endnote w:type="continuationSeparator" w:id="0">
    <w:p w14:paraId="6DFB215A" w14:textId="77777777" w:rsidR="00A316B1" w:rsidRDefault="00A316B1" w:rsidP="00AA4A6A">
      <w:r>
        <w:continuationSeparator/>
      </w:r>
    </w:p>
  </w:endnote>
  <w:endnote w:type="continuationNotice" w:id="1">
    <w:p w14:paraId="405ED9B8" w14:textId="77777777" w:rsidR="00A316B1" w:rsidRDefault="00A316B1"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9112" w14:textId="77777777" w:rsidR="00A316B1" w:rsidRDefault="00A316B1" w:rsidP="00AA4A6A">
      <w:r>
        <w:separator/>
      </w:r>
    </w:p>
  </w:footnote>
  <w:footnote w:type="continuationSeparator" w:id="0">
    <w:p w14:paraId="4045B4A4" w14:textId="77777777" w:rsidR="00A316B1" w:rsidRDefault="00A316B1" w:rsidP="00AA4A6A">
      <w:r>
        <w:continuationSeparator/>
      </w:r>
    </w:p>
  </w:footnote>
  <w:footnote w:type="continuationNotice" w:id="1">
    <w:p w14:paraId="3B9C3FEA" w14:textId="77777777" w:rsidR="00A316B1" w:rsidRDefault="00A316B1"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50DB"/>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261D8"/>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16B1"/>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1B7A"/>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4449"/>
    <w:rsid w:val="00CD722E"/>
    <w:rsid w:val="00CD7278"/>
    <w:rsid w:val="00CD7968"/>
    <w:rsid w:val="00CE2754"/>
    <w:rsid w:val="00CE544B"/>
    <w:rsid w:val="00CE6EDD"/>
    <w:rsid w:val="00CE7A60"/>
    <w:rsid w:val="00D01FA1"/>
    <w:rsid w:val="00D03770"/>
    <w:rsid w:val="00D104BF"/>
    <w:rsid w:val="00D114DF"/>
    <w:rsid w:val="00D14C8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35BFC"/>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55F0"/>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6814"/>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510CE6-6776-4028-9A41-16C8B8C74F3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23F72DF7-E743-4CE8-B248-4AF465D8B32F}">
      <dgm:prSet phldrT="[Text]"/>
      <dgm:spPr/>
      <dgm:t>
        <a:bodyPr/>
        <a:lstStyle/>
        <a:p>
          <a:r>
            <a:rPr lang="en-GB"/>
            <a:t>Role fullfillment</a:t>
          </a:r>
        </a:p>
      </dgm:t>
    </dgm:pt>
    <dgm:pt modelId="{67F20B30-9219-42B3-96DE-65BF24F5E6D3}" type="parTrans" cxnId="{7F9B3C55-E782-4B13-ADA6-492BD02F7ED5}">
      <dgm:prSet/>
      <dgm:spPr/>
      <dgm:t>
        <a:bodyPr/>
        <a:lstStyle/>
        <a:p>
          <a:endParaRPr lang="en-GB"/>
        </a:p>
      </dgm:t>
    </dgm:pt>
    <dgm:pt modelId="{DA600966-7874-4BD6-A7F2-BBC3B0C725FC}" type="sibTrans" cxnId="{7F9B3C55-E782-4B13-ADA6-492BD02F7ED5}">
      <dgm:prSet/>
      <dgm:spPr/>
      <dgm:t>
        <a:bodyPr/>
        <a:lstStyle/>
        <a:p>
          <a:endParaRPr lang="en-GB"/>
        </a:p>
      </dgm:t>
    </dgm:pt>
    <dgm:pt modelId="{4FA57FB8-64D9-491A-8AA6-4DBFC5D7BB5E}">
      <dgm:prSet phldrT="[Text]"/>
      <dgm:spPr/>
      <dgm:t>
        <a:bodyPr/>
        <a:lstStyle/>
        <a:p>
          <a:r>
            <a:rPr lang="en-GB"/>
            <a:t>Build role profiles</a:t>
          </a:r>
        </a:p>
      </dgm:t>
    </dgm:pt>
    <dgm:pt modelId="{C88D45CA-C0D4-409A-8C47-438C464A2536}" type="parTrans" cxnId="{CC7D5645-21C9-47F6-A968-91C913D97603}">
      <dgm:prSet/>
      <dgm:spPr/>
      <dgm:t>
        <a:bodyPr/>
        <a:lstStyle/>
        <a:p>
          <a:endParaRPr lang="en-GB"/>
        </a:p>
      </dgm:t>
    </dgm:pt>
    <dgm:pt modelId="{24843D64-5CE4-44D9-ADE5-C797E9CAA63E}" type="sibTrans" cxnId="{CC7D5645-21C9-47F6-A968-91C913D97603}">
      <dgm:prSet/>
      <dgm:spPr/>
      <dgm:t>
        <a:bodyPr/>
        <a:lstStyle/>
        <a:p>
          <a:endParaRPr lang="en-GB"/>
        </a:p>
      </dgm:t>
    </dgm:pt>
    <dgm:pt modelId="{D0E88D79-C6A2-47F7-8B4E-A29B5EA02270}">
      <dgm:prSet phldrT="[Text]"/>
      <dgm:spPr/>
      <dgm:t>
        <a:bodyPr/>
        <a:lstStyle/>
        <a:p>
          <a:r>
            <a:rPr lang="en-GB"/>
            <a:t>Skills gap analysis</a:t>
          </a:r>
        </a:p>
      </dgm:t>
    </dgm:pt>
    <dgm:pt modelId="{A2CA29C1-D069-4361-8534-07D9315A76B2}" type="parTrans" cxnId="{1942980C-0311-4590-B440-B88BA49CC398}">
      <dgm:prSet/>
      <dgm:spPr/>
      <dgm:t>
        <a:bodyPr/>
        <a:lstStyle/>
        <a:p>
          <a:endParaRPr lang="en-GB"/>
        </a:p>
      </dgm:t>
    </dgm:pt>
    <dgm:pt modelId="{A34A31EE-C822-4473-A788-AC9C2B68BD18}" type="sibTrans" cxnId="{1942980C-0311-4590-B440-B88BA49CC398}">
      <dgm:prSet/>
      <dgm:spPr/>
      <dgm:t>
        <a:bodyPr/>
        <a:lstStyle/>
        <a:p>
          <a:endParaRPr lang="en-GB"/>
        </a:p>
      </dgm:t>
    </dgm:pt>
    <dgm:pt modelId="{1F5F113C-C9B9-498D-930A-548134C7B4E3}">
      <dgm:prSet phldrT="[Text]"/>
      <dgm:spPr/>
      <dgm:t>
        <a:bodyPr/>
        <a:lstStyle/>
        <a:p>
          <a:r>
            <a:rPr lang="en-GB"/>
            <a:t>Development opportunities</a:t>
          </a:r>
        </a:p>
      </dgm:t>
    </dgm:pt>
    <dgm:pt modelId="{E25A7867-108C-418A-A79D-C5F8D28F03BA}" type="parTrans" cxnId="{C4AFFA42-C871-4AC6-9C64-4D93131AEA33}">
      <dgm:prSet/>
      <dgm:spPr/>
      <dgm:t>
        <a:bodyPr/>
        <a:lstStyle/>
        <a:p>
          <a:endParaRPr lang="en-GB"/>
        </a:p>
      </dgm:t>
    </dgm:pt>
    <dgm:pt modelId="{DE85B5B5-2351-4902-BC15-F2F57E157A20}" type="sibTrans" cxnId="{C4AFFA42-C871-4AC6-9C64-4D93131AEA33}">
      <dgm:prSet/>
      <dgm:spPr/>
      <dgm:t>
        <a:bodyPr/>
        <a:lstStyle/>
        <a:p>
          <a:endParaRPr lang="en-GB"/>
        </a:p>
      </dgm:t>
    </dgm:pt>
    <dgm:pt modelId="{17F14D6B-C411-4925-AE65-CCEC049B3E54}">
      <dgm:prSet phldrT="[Text]"/>
      <dgm:spPr/>
      <dgm:t>
        <a:bodyPr/>
        <a:lstStyle/>
        <a:p>
          <a:r>
            <a:rPr lang="en-GB"/>
            <a:t>Continuous quality improvement</a:t>
          </a:r>
        </a:p>
      </dgm:t>
    </dgm:pt>
    <dgm:pt modelId="{14098A8E-52CE-48AE-89FE-F4FEC55A24BB}" type="parTrans" cxnId="{622450D8-C89C-47DD-8AE4-28D2B8FD76A4}">
      <dgm:prSet/>
      <dgm:spPr/>
      <dgm:t>
        <a:bodyPr/>
        <a:lstStyle/>
        <a:p>
          <a:endParaRPr lang="en-GB"/>
        </a:p>
      </dgm:t>
    </dgm:pt>
    <dgm:pt modelId="{2372BE7C-F7B5-4570-99E6-CA364F1F8895}" type="sibTrans" cxnId="{622450D8-C89C-47DD-8AE4-28D2B8FD76A4}">
      <dgm:prSet/>
      <dgm:spPr/>
      <dgm:t>
        <a:bodyPr/>
        <a:lstStyle/>
        <a:p>
          <a:endParaRPr lang="en-GB"/>
        </a:p>
      </dgm:t>
    </dgm:pt>
    <dgm:pt modelId="{F06C427A-7163-4649-A49E-70AE91F001E1}" type="pres">
      <dgm:prSet presAssocID="{F9510CE6-6776-4028-9A41-16C8B8C74F3E}" presName="cycle" presStyleCnt="0">
        <dgm:presLayoutVars>
          <dgm:dir/>
          <dgm:resizeHandles val="exact"/>
        </dgm:presLayoutVars>
      </dgm:prSet>
      <dgm:spPr/>
    </dgm:pt>
    <dgm:pt modelId="{19CEF02C-AFF6-44E1-A05F-DD126E4BEABC}" type="pres">
      <dgm:prSet presAssocID="{23F72DF7-E743-4CE8-B248-4AF465D8B32F}" presName="node" presStyleLbl="node1" presStyleIdx="0" presStyleCnt="5">
        <dgm:presLayoutVars>
          <dgm:bulletEnabled val="1"/>
        </dgm:presLayoutVars>
      </dgm:prSet>
      <dgm:spPr/>
    </dgm:pt>
    <dgm:pt modelId="{0B6CC56A-CA35-42C1-BEE3-5C1489303816}" type="pres">
      <dgm:prSet presAssocID="{23F72DF7-E743-4CE8-B248-4AF465D8B32F}" presName="spNode" presStyleCnt="0"/>
      <dgm:spPr/>
    </dgm:pt>
    <dgm:pt modelId="{0632CB0A-4EFE-44FB-907C-B5E761A5F35B}" type="pres">
      <dgm:prSet presAssocID="{DA600966-7874-4BD6-A7F2-BBC3B0C725FC}" presName="sibTrans" presStyleLbl="sibTrans1D1" presStyleIdx="0" presStyleCnt="5"/>
      <dgm:spPr/>
    </dgm:pt>
    <dgm:pt modelId="{6E689399-5FF4-4537-989B-64D46A800438}" type="pres">
      <dgm:prSet presAssocID="{4FA57FB8-64D9-491A-8AA6-4DBFC5D7BB5E}" presName="node" presStyleLbl="node1" presStyleIdx="1" presStyleCnt="5">
        <dgm:presLayoutVars>
          <dgm:bulletEnabled val="1"/>
        </dgm:presLayoutVars>
      </dgm:prSet>
      <dgm:spPr/>
    </dgm:pt>
    <dgm:pt modelId="{D80460C4-5902-4620-84C4-0CB91A74C674}" type="pres">
      <dgm:prSet presAssocID="{4FA57FB8-64D9-491A-8AA6-4DBFC5D7BB5E}" presName="spNode" presStyleCnt="0"/>
      <dgm:spPr/>
    </dgm:pt>
    <dgm:pt modelId="{D2B4879A-2DD7-41F6-955D-54C512232083}" type="pres">
      <dgm:prSet presAssocID="{24843D64-5CE4-44D9-ADE5-C797E9CAA63E}" presName="sibTrans" presStyleLbl="sibTrans1D1" presStyleIdx="1" presStyleCnt="5"/>
      <dgm:spPr/>
    </dgm:pt>
    <dgm:pt modelId="{E4F8DDD6-CD21-42B9-8D9B-9C53013D5DC8}" type="pres">
      <dgm:prSet presAssocID="{D0E88D79-C6A2-47F7-8B4E-A29B5EA02270}" presName="node" presStyleLbl="node1" presStyleIdx="2" presStyleCnt="5">
        <dgm:presLayoutVars>
          <dgm:bulletEnabled val="1"/>
        </dgm:presLayoutVars>
      </dgm:prSet>
      <dgm:spPr/>
    </dgm:pt>
    <dgm:pt modelId="{6706E82A-754A-4F4F-9C4D-EA7894D3AF6E}" type="pres">
      <dgm:prSet presAssocID="{D0E88D79-C6A2-47F7-8B4E-A29B5EA02270}" presName="spNode" presStyleCnt="0"/>
      <dgm:spPr/>
    </dgm:pt>
    <dgm:pt modelId="{8F1103B9-0C52-4DBD-ABD7-40A1D1EB511B}" type="pres">
      <dgm:prSet presAssocID="{A34A31EE-C822-4473-A788-AC9C2B68BD18}" presName="sibTrans" presStyleLbl="sibTrans1D1" presStyleIdx="2" presStyleCnt="5"/>
      <dgm:spPr/>
    </dgm:pt>
    <dgm:pt modelId="{F83F0088-BAC4-4C42-B01D-EC13A3DABEFD}" type="pres">
      <dgm:prSet presAssocID="{1F5F113C-C9B9-498D-930A-548134C7B4E3}" presName="node" presStyleLbl="node1" presStyleIdx="3" presStyleCnt="5">
        <dgm:presLayoutVars>
          <dgm:bulletEnabled val="1"/>
        </dgm:presLayoutVars>
      </dgm:prSet>
      <dgm:spPr/>
    </dgm:pt>
    <dgm:pt modelId="{8A843FB3-5304-4188-BA01-1F9E3B0843F9}" type="pres">
      <dgm:prSet presAssocID="{1F5F113C-C9B9-498D-930A-548134C7B4E3}" presName="spNode" presStyleCnt="0"/>
      <dgm:spPr/>
    </dgm:pt>
    <dgm:pt modelId="{D2626942-7551-4DD4-8458-821C04F614B9}" type="pres">
      <dgm:prSet presAssocID="{DE85B5B5-2351-4902-BC15-F2F57E157A20}" presName="sibTrans" presStyleLbl="sibTrans1D1" presStyleIdx="3" presStyleCnt="5"/>
      <dgm:spPr/>
    </dgm:pt>
    <dgm:pt modelId="{C09913E0-E207-48F3-B245-3407D9AC1030}" type="pres">
      <dgm:prSet presAssocID="{17F14D6B-C411-4925-AE65-CCEC049B3E54}" presName="node" presStyleLbl="node1" presStyleIdx="4" presStyleCnt="5">
        <dgm:presLayoutVars>
          <dgm:bulletEnabled val="1"/>
        </dgm:presLayoutVars>
      </dgm:prSet>
      <dgm:spPr/>
    </dgm:pt>
    <dgm:pt modelId="{831D1799-E1F6-4608-B62A-45E19872A6E9}" type="pres">
      <dgm:prSet presAssocID="{17F14D6B-C411-4925-AE65-CCEC049B3E54}" presName="spNode" presStyleCnt="0"/>
      <dgm:spPr/>
    </dgm:pt>
    <dgm:pt modelId="{09501949-001C-463A-AC9F-57AAAC10A42D}" type="pres">
      <dgm:prSet presAssocID="{2372BE7C-F7B5-4570-99E6-CA364F1F8895}" presName="sibTrans" presStyleLbl="sibTrans1D1" presStyleIdx="4" presStyleCnt="5"/>
      <dgm:spPr/>
    </dgm:pt>
  </dgm:ptLst>
  <dgm:cxnLst>
    <dgm:cxn modelId="{1942980C-0311-4590-B440-B88BA49CC398}" srcId="{F9510CE6-6776-4028-9A41-16C8B8C74F3E}" destId="{D0E88D79-C6A2-47F7-8B4E-A29B5EA02270}" srcOrd="2" destOrd="0" parTransId="{A2CA29C1-D069-4361-8534-07D9315A76B2}" sibTransId="{A34A31EE-C822-4473-A788-AC9C2B68BD18}"/>
    <dgm:cxn modelId="{FDD06D1B-4D13-49A0-9618-3CD7494C44DC}" type="presOf" srcId="{DE85B5B5-2351-4902-BC15-F2F57E157A20}" destId="{D2626942-7551-4DD4-8458-821C04F614B9}" srcOrd="0" destOrd="0" presId="urn:microsoft.com/office/officeart/2005/8/layout/cycle5"/>
    <dgm:cxn modelId="{DA05512C-AF8A-40CE-85D3-363C5C9B2E3F}" type="presOf" srcId="{F9510CE6-6776-4028-9A41-16C8B8C74F3E}" destId="{F06C427A-7163-4649-A49E-70AE91F001E1}" srcOrd="0" destOrd="0" presId="urn:microsoft.com/office/officeart/2005/8/layout/cycle5"/>
    <dgm:cxn modelId="{30C1FB2F-9233-4A06-8E37-3F14209F384C}" type="presOf" srcId="{1F5F113C-C9B9-498D-930A-548134C7B4E3}" destId="{F83F0088-BAC4-4C42-B01D-EC13A3DABEFD}" srcOrd="0" destOrd="0" presId="urn:microsoft.com/office/officeart/2005/8/layout/cycle5"/>
    <dgm:cxn modelId="{4D6B9E40-5453-48D9-977F-260F9FC81CF1}" type="presOf" srcId="{4FA57FB8-64D9-491A-8AA6-4DBFC5D7BB5E}" destId="{6E689399-5FF4-4537-989B-64D46A800438}" srcOrd="0" destOrd="0" presId="urn:microsoft.com/office/officeart/2005/8/layout/cycle5"/>
    <dgm:cxn modelId="{C4AFFA42-C871-4AC6-9C64-4D93131AEA33}" srcId="{F9510CE6-6776-4028-9A41-16C8B8C74F3E}" destId="{1F5F113C-C9B9-498D-930A-548134C7B4E3}" srcOrd="3" destOrd="0" parTransId="{E25A7867-108C-418A-A79D-C5F8D28F03BA}" sibTransId="{DE85B5B5-2351-4902-BC15-F2F57E157A20}"/>
    <dgm:cxn modelId="{CC7D5645-21C9-47F6-A968-91C913D97603}" srcId="{F9510CE6-6776-4028-9A41-16C8B8C74F3E}" destId="{4FA57FB8-64D9-491A-8AA6-4DBFC5D7BB5E}" srcOrd="1" destOrd="0" parTransId="{C88D45CA-C0D4-409A-8C47-438C464A2536}" sibTransId="{24843D64-5CE4-44D9-ADE5-C797E9CAA63E}"/>
    <dgm:cxn modelId="{7F9B3C55-E782-4B13-ADA6-492BD02F7ED5}" srcId="{F9510CE6-6776-4028-9A41-16C8B8C74F3E}" destId="{23F72DF7-E743-4CE8-B248-4AF465D8B32F}" srcOrd="0" destOrd="0" parTransId="{67F20B30-9219-42B3-96DE-65BF24F5E6D3}" sibTransId="{DA600966-7874-4BD6-A7F2-BBC3B0C725FC}"/>
    <dgm:cxn modelId="{8A746E55-D547-4D9D-AC71-A94B8F290339}" type="presOf" srcId="{DA600966-7874-4BD6-A7F2-BBC3B0C725FC}" destId="{0632CB0A-4EFE-44FB-907C-B5E761A5F35B}" srcOrd="0" destOrd="0" presId="urn:microsoft.com/office/officeart/2005/8/layout/cycle5"/>
    <dgm:cxn modelId="{119E4E75-7B25-4CD4-9E67-E8DEE7794D40}" type="presOf" srcId="{D0E88D79-C6A2-47F7-8B4E-A29B5EA02270}" destId="{E4F8DDD6-CD21-42B9-8D9B-9C53013D5DC8}" srcOrd="0" destOrd="0" presId="urn:microsoft.com/office/officeart/2005/8/layout/cycle5"/>
    <dgm:cxn modelId="{428ED2A3-3F32-4C47-8934-213BFAE2C9DD}" type="presOf" srcId="{24843D64-5CE4-44D9-ADE5-C797E9CAA63E}" destId="{D2B4879A-2DD7-41F6-955D-54C512232083}" srcOrd="0" destOrd="0" presId="urn:microsoft.com/office/officeart/2005/8/layout/cycle5"/>
    <dgm:cxn modelId="{622450D8-C89C-47DD-8AE4-28D2B8FD76A4}" srcId="{F9510CE6-6776-4028-9A41-16C8B8C74F3E}" destId="{17F14D6B-C411-4925-AE65-CCEC049B3E54}" srcOrd="4" destOrd="0" parTransId="{14098A8E-52CE-48AE-89FE-F4FEC55A24BB}" sibTransId="{2372BE7C-F7B5-4570-99E6-CA364F1F8895}"/>
    <dgm:cxn modelId="{0408DCD9-AA0F-4F40-B2C7-3A2507B16BC9}" type="presOf" srcId="{23F72DF7-E743-4CE8-B248-4AF465D8B32F}" destId="{19CEF02C-AFF6-44E1-A05F-DD126E4BEABC}" srcOrd="0" destOrd="0" presId="urn:microsoft.com/office/officeart/2005/8/layout/cycle5"/>
    <dgm:cxn modelId="{D10B2EDA-C3AC-41DA-A707-6BE03483DEEA}" type="presOf" srcId="{2372BE7C-F7B5-4570-99E6-CA364F1F8895}" destId="{09501949-001C-463A-AC9F-57AAAC10A42D}" srcOrd="0" destOrd="0" presId="urn:microsoft.com/office/officeart/2005/8/layout/cycle5"/>
    <dgm:cxn modelId="{DB1DAADB-6C2A-4628-A8FE-EDBEAC027F08}" type="presOf" srcId="{17F14D6B-C411-4925-AE65-CCEC049B3E54}" destId="{C09913E0-E207-48F3-B245-3407D9AC1030}" srcOrd="0" destOrd="0" presId="urn:microsoft.com/office/officeart/2005/8/layout/cycle5"/>
    <dgm:cxn modelId="{E436D5E8-DD5A-4DE7-B861-38799F230AFB}" type="presOf" srcId="{A34A31EE-C822-4473-A788-AC9C2B68BD18}" destId="{8F1103B9-0C52-4DBD-ABD7-40A1D1EB511B}" srcOrd="0" destOrd="0" presId="urn:microsoft.com/office/officeart/2005/8/layout/cycle5"/>
    <dgm:cxn modelId="{B3CE9368-6052-46A0-BD79-4C118F9C0AB7}" type="presParOf" srcId="{F06C427A-7163-4649-A49E-70AE91F001E1}" destId="{19CEF02C-AFF6-44E1-A05F-DD126E4BEABC}" srcOrd="0" destOrd="0" presId="urn:microsoft.com/office/officeart/2005/8/layout/cycle5"/>
    <dgm:cxn modelId="{24D2A3D9-08C7-42F8-8896-C663CB7321A8}" type="presParOf" srcId="{F06C427A-7163-4649-A49E-70AE91F001E1}" destId="{0B6CC56A-CA35-42C1-BEE3-5C1489303816}" srcOrd="1" destOrd="0" presId="urn:microsoft.com/office/officeart/2005/8/layout/cycle5"/>
    <dgm:cxn modelId="{AD037C34-BEDE-4001-8DF1-56E6649BEF82}" type="presParOf" srcId="{F06C427A-7163-4649-A49E-70AE91F001E1}" destId="{0632CB0A-4EFE-44FB-907C-B5E761A5F35B}" srcOrd="2" destOrd="0" presId="urn:microsoft.com/office/officeart/2005/8/layout/cycle5"/>
    <dgm:cxn modelId="{456B54B4-7CCF-451D-8FE1-572E30E57E29}" type="presParOf" srcId="{F06C427A-7163-4649-A49E-70AE91F001E1}" destId="{6E689399-5FF4-4537-989B-64D46A800438}" srcOrd="3" destOrd="0" presId="urn:microsoft.com/office/officeart/2005/8/layout/cycle5"/>
    <dgm:cxn modelId="{22FBDAF4-BD6C-4A1E-8B77-AAE721218274}" type="presParOf" srcId="{F06C427A-7163-4649-A49E-70AE91F001E1}" destId="{D80460C4-5902-4620-84C4-0CB91A74C674}" srcOrd="4" destOrd="0" presId="urn:microsoft.com/office/officeart/2005/8/layout/cycle5"/>
    <dgm:cxn modelId="{AD81CF48-94F2-41FA-98CC-CE1333D64CE8}" type="presParOf" srcId="{F06C427A-7163-4649-A49E-70AE91F001E1}" destId="{D2B4879A-2DD7-41F6-955D-54C512232083}" srcOrd="5" destOrd="0" presId="urn:microsoft.com/office/officeart/2005/8/layout/cycle5"/>
    <dgm:cxn modelId="{E8EF7B81-9A1E-4287-9F04-3EEF64EABCDC}" type="presParOf" srcId="{F06C427A-7163-4649-A49E-70AE91F001E1}" destId="{E4F8DDD6-CD21-42B9-8D9B-9C53013D5DC8}" srcOrd="6" destOrd="0" presId="urn:microsoft.com/office/officeart/2005/8/layout/cycle5"/>
    <dgm:cxn modelId="{E91B1EA4-130F-4AC1-A3A5-F4B173D2C320}" type="presParOf" srcId="{F06C427A-7163-4649-A49E-70AE91F001E1}" destId="{6706E82A-754A-4F4F-9C4D-EA7894D3AF6E}" srcOrd="7" destOrd="0" presId="urn:microsoft.com/office/officeart/2005/8/layout/cycle5"/>
    <dgm:cxn modelId="{D8FFF8F2-3AAF-4CA0-A75F-FB49A990089E}" type="presParOf" srcId="{F06C427A-7163-4649-A49E-70AE91F001E1}" destId="{8F1103B9-0C52-4DBD-ABD7-40A1D1EB511B}" srcOrd="8" destOrd="0" presId="urn:microsoft.com/office/officeart/2005/8/layout/cycle5"/>
    <dgm:cxn modelId="{9F45168F-915F-4437-8587-557FF85596E6}" type="presParOf" srcId="{F06C427A-7163-4649-A49E-70AE91F001E1}" destId="{F83F0088-BAC4-4C42-B01D-EC13A3DABEFD}" srcOrd="9" destOrd="0" presId="urn:microsoft.com/office/officeart/2005/8/layout/cycle5"/>
    <dgm:cxn modelId="{C8C169C8-B91B-430E-9A3D-D2D7FF28724A}" type="presParOf" srcId="{F06C427A-7163-4649-A49E-70AE91F001E1}" destId="{8A843FB3-5304-4188-BA01-1F9E3B0843F9}" srcOrd="10" destOrd="0" presId="urn:microsoft.com/office/officeart/2005/8/layout/cycle5"/>
    <dgm:cxn modelId="{E3D5F46B-A19E-4223-BE62-40AACFA566B3}" type="presParOf" srcId="{F06C427A-7163-4649-A49E-70AE91F001E1}" destId="{D2626942-7551-4DD4-8458-821C04F614B9}" srcOrd="11" destOrd="0" presId="urn:microsoft.com/office/officeart/2005/8/layout/cycle5"/>
    <dgm:cxn modelId="{D9C80197-DF2B-47D9-9968-C1F52485D42E}" type="presParOf" srcId="{F06C427A-7163-4649-A49E-70AE91F001E1}" destId="{C09913E0-E207-48F3-B245-3407D9AC1030}" srcOrd="12" destOrd="0" presId="urn:microsoft.com/office/officeart/2005/8/layout/cycle5"/>
    <dgm:cxn modelId="{493FBE5A-7A76-43EB-AAF6-956D3F3CB3C5}" type="presParOf" srcId="{F06C427A-7163-4649-A49E-70AE91F001E1}" destId="{831D1799-E1F6-4608-B62A-45E19872A6E9}" srcOrd="13" destOrd="0" presId="urn:microsoft.com/office/officeart/2005/8/layout/cycle5"/>
    <dgm:cxn modelId="{D20EC4CE-AD8D-42AF-8EA5-4E3612F06489}" type="presParOf" srcId="{F06C427A-7163-4649-A49E-70AE91F001E1}" destId="{09501949-001C-463A-AC9F-57AAAC10A42D}" srcOrd="14"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CEF02C-AFF6-44E1-A05F-DD126E4BEABC}">
      <dsp:nvSpPr>
        <dsp:cNvPr id="0" name=""/>
        <dsp:cNvSpPr/>
      </dsp:nvSpPr>
      <dsp:spPr>
        <a:xfrm>
          <a:off x="2084744" y="1067"/>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Role fullfillment</a:t>
          </a:r>
        </a:p>
      </dsp:txBody>
      <dsp:txXfrm>
        <a:off x="2112627" y="28950"/>
        <a:ext cx="822994" cy="515428"/>
      </dsp:txXfrm>
    </dsp:sp>
    <dsp:sp modelId="{0632CB0A-4EFE-44FB-907C-B5E761A5F35B}">
      <dsp:nvSpPr>
        <dsp:cNvPr id="0" name=""/>
        <dsp:cNvSpPr/>
      </dsp:nvSpPr>
      <dsp:spPr>
        <a:xfrm>
          <a:off x="1382453" y="286664"/>
          <a:ext cx="2283342" cy="2283342"/>
        </a:xfrm>
        <a:custGeom>
          <a:avLst/>
          <a:gdLst/>
          <a:ahLst/>
          <a:cxnLst/>
          <a:rect l="0" t="0" r="0" b="0"/>
          <a:pathLst>
            <a:path>
              <a:moveTo>
                <a:pt x="1698894" y="145219"/>
              </a:moveTo>
              <a:arcTo wR="1141671" hR="1141671" stAng="17952855" swAng="12124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E689399-5FF4-4537-989B-64D46A800438}">
      <dsp:nvSpPr>
        <dsp:cNvPr id="0" name=""/>
        <dsp:cNvSpPr/>
      </dsp:nvSpPr>
      <dsp:spPr>
        <a:xfrm>
          <a:off x="3170538" y="789942"/>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Build role profiles</a:t>
          </a:r>
        </a:p>
      </dsp:txBody>
      <dsp:txXfrm>
        <a:off x="3198421" y="817825"/>
        <a:ext cx="822994" cy="515428"/>
      </dsp:txXfrm>
    </dsp:sp>
    <dsp:sp modelId="{D2B4879A-2DD7-41F6-955D-54C512232083}">
      <dsp:nvSpPr>
        <dsp:cNvPr id="0" name=""/>
        <dsp:cNvSpPr/>
      </dsp:nvSpPr>
      <dsp:spPr>
        <a:xfrm>
          <a:off x="1382453" y="286664"/>
          <a:ext cx="2283342" cy="2283342"/>
        </a:xfrm>
        <a:custGeom>
          <a:avLst/>
          <a:gdLst/>
          <a:ahLst/>
          <a:cxnLst/>
          <a:rect l="0" t="0" r="0" b="0"/>
          <a:pathLst>
            <a:path>
              <a:moveTo>
                <a:pt x="2280610" y="1220600"/>
              </a:moveTo>
              <a:arcTo wR="1141671" hR="1141671" stAng="21837859" swAng="136043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4F8DDD6-CD21-42B9-8D9B-9C53013D5DC8}">
      <dsp:nvSpPr>
        <dsp:cNvPr id="0" name=""/>
        <dsp:cNvSpPr/>
      </dsp:nvSpPr>
      <dsp:spPr>
        <a:xfrm>
          <a:off x="2755802" y="2066369"/>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Skills gap analysis</a:t>
          </a:r>
        </a:p>
      </dsp:txBody>
      <dsp:txXfrm>
        <a:off x="2783685" y="2094252"/>
        <a:ext cx="822994" cy="515428"/>
      </dsp:txXfrm>
    </dsp:sp>
    <dsp:sp modelId="{8F1103B9-0C52-4DBD-ABD7-40A1D1EB511B}">
      <dsp:nvSpPr>
        <dsp:cNvPr id="0" name=""/>
        <dsp:cNvSpPr/>
      </dsp:nvSpPr>
      <dsp:spPr>
        <a:xfrm>
          <a:off x="1382453" y="286664"/>
          <a:ext cx="2283342" cy="2283342"/>
        </a:xfrm>
        <a:custGeom>
          <a:avLst/>
          <a:gdLst/>
          <a:ahLst/>
          <a:cxnLst/>
          <a:rect l="0" t="0" r="0" b="0"/>
          <a:pathLst>
            <a:path>
              <a:moveTo>
                <a:pt x="1281942" y="2274692"/>
              </a:moveTo>
              <a:arcTo wR="1141671" hR="1141671" stAng="4976551" swAng="84689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83F0088-BAC4-4C42-B01D-EC13A3DABEFD}">
      <dsp:nvSpPr>
        <dsp:cNvPr id="0" name=""/>
        <dsp:cNvSpPr/>
      </dsp:nvSpPr>
      <dsp:spPr>
        <a:xfrm>
          <a:off x="1413687" y="2066369"/>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Development opportunities</a:t>
          </a:r>
        </a:p>
      </dsp:txBody>
      <dsp:txXfrm>
        <a:off x="1441570" y="2094252"/>
        <a:ext cx="822994" cy="515428"/>
      </dsp:txXfrm>
    </dsp:sp>
    <dsp:sp modelId="{D2626942-7551-4DD4-8458-821C04F614B9}">
      <dsp:nvSpPr>
        <dsp:cNvPr id="0" name=""/>
        <dsp:cNvSpPr/>
      </dsp:nvSpPr>
      <dsp:spPr>
        <a:xfrm>
          <a:off x="1382453" y="286664"/>
          <a:ext cx="2283342" cy="2283342"/>
        </a:xfrm>
        <a:custGeom>
          <a:avLst/>
          <a:gdLst/>
          <a:ahLst/>
          <a:cxnLst/>
          <a:rect l="0" t="0" r="0" b="0"/>
          <a:pathLst>
            <a:path>
              <a:moveTo>
                <a:pt x="121182" y="1653547"/>
              </a:moveTo>
              <a:arcTo wR="1141671" hR="1141671" stAng="9201702" swAng="136043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9913E0-E207-48F3-B245-3407D9AC1030}">
      <dsp:nvSpPr>
        <dsp:cNvPr id="0" name=""/>
        <dsp:cNvSpPr/>
      </dsp:nvSpPr>
      <dsp:spPr>
        <a:xfrm>
          <a:off x="998950" y="789942"/>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Continuous quality improvement</a:t>
          </a:r>
        </a:p>
      </dsp:txBody>
      <dsp:txXfrm>
        <a:off x="1026833" y="817825"/>
        <a:ext cx="822994" cy="515428"/>
      </dsp:txXfrm>
    </dsp:sp>
    <dsp:sp modelId="{09501949-001C-463A-AC9F-57AAAC10A42D}">
      <dsp:nvSpPr>
        <dsp:cNvPr id="0" name=""/>
        <dsp:cNvSpPr/>
      </dsp:nvSpPr>
      <dsp:spPr>
        <a:xfrm>
          <a:off x="1382453" y="286664"/>
          <a:ext cx="2283342" cy="2283342"/>
        </a:xfrm>
        <a:custGeom>
          <a:avLst/>
          <a:gdLst/>
          <a:ahLst/>
          <a:cxnLst/>
          <a:rect l="0" t="0" r="0" b="0"/>
          <a:pathLst>
            <a:path>
              <a:moveTo>
                <a:pt x="274548" y="399032"/>
              </a:moveTo>
              <a:arcTo wR="1141671" hR="1141671" stAng="13234685" swAng="12124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2.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4.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4075</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9</cp:revision>
  <cp:lastPrinted>2018-02-13T03:00:00Z</cp:lastPrinted>
  <dcterms:created xsi:type="dcterms:W3CDTF">2021-11-05T09:19:00Z</dcterms:created>
  <dcterms:modified xsi:type="dcterms:W3CDTF">2021-11-05T13:10:00Z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